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73" w:rsidRDefault="00556060" w:rsidP="00EE4802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18C55DF" wp14:editId="7FC6FF69">
            <wp:simplePos x="0" y="0"/>
            <wp:positionH relativeFrom="column">
              <wp:posOffset>8323580</wp:posOffset>
            </wp:positionH>
            <wp:positionV relativeFrom="paragraph">
              <wp:posOffset>-86995</wp:posOffset>
            </wp:positionV>
            <wp:extent cx="786765" cy="783590"/>
            <wp:effectExtent l="0" t="0" r="0" b="0"/>
            <wp:wrapTight wrapText="bothSides">
              <wp:wrapPolygon edited="0">
                <wp:start x="0" y="0"/>
                <wp:lineTo x="0" y="21005"/>
                <wp:lineTo x="20920" y="21005"/>
                <wp:lineTo x="20920" y="0"/>
                <wp:lineTo x="0" y="0"/>
              </wp:wrapPolygon>
            </wp:wrapTight>
            <wp:docPr id="1" name="Picture 1" descr="C:\Documents and Settings\bursar\Desktop\Lavant-NewLogo-Small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ursar\Desktop\Lavant-NewLogo-SmallB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060" w:rsidRDefault="00A67C73" w:rsidP="00556060">
      <w:pPr>
        <w:spacing w:after="120"/>
        <w:jc w:val="center"/>
        <w:rPr>
          <w:b/>
        </w:rPr>
      </w:pPr>
      <w:r>
        <w:rPr>
          <w:b/>
        </w:rPr>
        <w:t>Results of E</w:t>
      </w:r>
      <w:r w:rsidR="00556060">
        <w:rPr>
          <w:b/>
        </w:rPr>
        <w:t xml:space="preserve">arly </w:t>
      </w:r>
      <w:r>
        <w:rPr>
          <w:b/>
        </w:rPr>
        <w:t>Y</w:t>
      </w:r>
      <w:r w:rsidR="00556060">
        <w:rPr>
          <w:b/>
        </w:rPr>
        <w:t xml:space="preserve">ears </w:t>
      </w:r>
      <w:r>
        <w:rPr>
          <w:b/>
        </w:rPr>
        <w:t>F</w:t>
      </w:r>
      <w:r w:rsidR="00556060">
        <w:rPr>
          <w:b/>
        </w:rPr>
        <w:t xml:space="preserve">oundation </w:t>
      </w:r>
      <w:r>
        <w:rPr>
          <w:b/>
        </w:rPr>
        <w:t>S</w:t>
      </w:r>
      <w:r w:rsidR="00556060">
        <w:rPr>
          <w:b/>
        </w:rPr>
        <w:t>tage 2015</w:t>
      </w:r>
      <w:r>
        <w:rPr>
          <w:b/>
        </w:rPr>
        <w:t xml:space="preserve"> </w:t>
      </w:r>
    </w:p>
    <w:p w:rsidR="00A67C73" w:rsidRDefault="00A67C73" w:rsidP="00EE4802">
      <w:pPr>
        <w:jc w:val="center"/>
      </w:pPr>
      <w:r w:rsidRPr="00556060">
        <w:t>88% of our children reached a good level of development</w:t>
      </w:r>
    </w:p>
    <w:p w:rsidR="00556060" w:rsidRDefault="00556060" w:rsidP="00EE4802">
      <w:pPr>
        <w:jc w:val="center"/>
      </w:pPr>
    </w:p>
    <w:p w:rsidR="00556060" w:rsidRPr="00556060" w:rsidRDefault="00556060" w:rsidP="00556060">
      <w:pPr>
        <w:spacing w:after="120"/>
        <w:jc w:val="center"/>
        <w:rPr>
          <w:b/>
        </w:rPr>
      </w:pPr>
      <w:r w:rsidRPr="00556060">
        <w:rPr>
          <w:b/>
        </w:rPr>
        <w:t>Results of Year 1 Phonics Check</w:t>
      </w:r>
    </w:p>
    <w:p w:rsidR="00556060" w:rsidRPr="00556060" w:rsidRDefault="003D4DFC" w:rsidP="00EE4802">
      <w:pPr>
        <w:jc w:val="center"/>
      </w:pPr>
      <w:r>
        <w:t>86</w:t>
      </w:r>
      <w:r w:rsidR="00556060">
        <w:t>% of our children passed the Phonics Check in 2015</w:t>
      </w:r>
    </w:p>
    <w:p w:rsidR="00A67C73" w:rsidRDefault="00A67C73" w:rsidP="00556060">
      <w:pPr>
        <w:spacing w:after="120"/>
        <w:jc w:val="center"/>
        <w:rPr>
          <w:b/>
        </w:rPr>
      </w:pPr>
    </w:p>
    <w:p w:rsidR="00BF4C0D" w:rsidRPr="00556060" w:rsidRDefault="00BF4C0D" w:rsidP="00556060">
      <w:pPr>
        <w:jc w:val="center"/>
        <w:rPr>
          <w:b/>
        </w:rPr>
      </w:pPr>
      <w:r w:rsidRPr="003D685A">
        <w:rPr>
          <w:b/>
        </w:rPr>
        <w:t>Results of Natio</w:t>
      </w:r>
      <w:r w:rsidR="003D685A" w:rsidRPr="003D685A">
        <w:rPr>
          <w:b/>
        </w:rPr>
        <w:t xml:space="preserve">nal Curriculum Assessment of 7 </w:t>
      </w:r>
      <w:r w:rsidR="00A67C73">
        <w:rPr>
          <w:b/>
        </w:rPr>
        <w:t>Year Olds 2015</w:t>
      </w:r>
      <w:bookmarkStart w:id="0" w:name="_GoBack"/>
      <w:bookmarkEnd w:id="0"/>
    </w:p>
    <w:p w:rsidR="00BF4C0D" w:rsidRDefault="00BF4C0D">
      <w:r>
        <w:t xml:space="preserve">Teachers use KS1 tests to confirm their own teacher assessments of the children’s attainment.  </w:t>
      </w:r>
      <w:r w:rsidR="00122C38">
        <w:t xml:space="preserve">These final assessments </w:t>
      </w:r>
      <w:r>
        <w:t>are give</w:t>
      </w:r>
      <w:r w:rsidR="0057264D">
        <w:t>n</w:t>
      </w:r>
      <w:r w:rsidR="00122C38">
        <w:t xml:space="preserve"> in the table below, with N</w:t>
      </w:r>
      <w:r>
        <w:t>ational test results in brackets for comparison.</w:t>
      </w:r>
      <w:r w:rsidR="006B4AA4">
        <w:t xml:space="preserve"> (Please note Na</w:t>
      </w:r>
      <w:r w:rsidR="00A67C73">
        <w:t xml:space="preserve">tional comparisons are from 201 4 </w:t>
      </w:r>
      <w:r w:rsidR="006B4AA4">
        <w:t>results)</w:t>
      </w:r>
    </w:p>
    <w:p w:rsidR="0057264D" w:rsidRDefault="0057264D"/>
    <w:p w:rsidR="00BF4C0D" w:rsidRDefault="00BF4C0D">
      <w:r>
        <w:t xml:space="preserve">Figures show the % of children achieving each level.  Each </w:t>
      </w:r>
      <w:r w:rsidR="00556060">
        <w:t>pupil</w:t>
      </w:r>
      <w:r>
        <w:t xml:space="preserve"> represents </w:t>
      </w:r>
      <w:r w:rsidR="00A67C73">
        <w:t>5</w:t>
      </w:r>
      <w:r>
        <w:t>%</w:t>
      </w:r>
      <w:r w:rsidR="00556060">
        <w:t xml:space="preserve">.  </w:t>
      </w:r>
      <w:r w:rsidR="00556060">
        <w:t>Totals may not add to 100% because of rounding</w:t>
      </w:r>
    </w:p>
    <w:p w:rsidR="00BF4C0D" w:rsidRDefault="00BF4C0D"/>
    <w:tbl>
      <w:tblPr>
        <w:tblStyle w:val="TableGrid"/>
        <w:tblW w:w="10947" w:type="dxa"/>
        <w:jc w:val="center"/>
        <w:tblLook w:val="04A0" w:firstRow="1" w:lastRow="0" w:firstColumn="1" w:lastColumn="0" w:noHBand="0" w:noVBand="1"/>
      </w:tblPr>
      <w:tblGrid>
        <w:gridCol w:w="2756"/>
        <w:gridCol w:w="1638"/>
        <w:gridCol w:w="1638"/>
        <w:gridCol w:w="1638"/>
        <w:gridCol w:w="1638"/>
        <w:gridCol w:w="1639"/>
      </w:tblGrid>
      <w:tr w:rsidR="00BF4C0D" w:rsidRPr="00556060" w:rsidTr="00556060">
        <w:trPr>
          <w:jc w:val="center"/>
        </w:trPr>
        <w:tc>
          <w:tcPr>
            <w:tcW w:w="2756" w:type="dxa"/>
          </w:tcPr>
          <w:p w:rsidR="00BF4C0D" w:rsidRPr="00556060" w:rsidRDefault="00BF4C0D">
            <w:r w:rsidRPr="00556060">
              <w:t>Level</w:t>
            </w:r>
          </w:p>
          <w:p w:rsidR="00BF4C0D" w:rsidRPr="00556060" w:rsidRDefault="00BF4C0D"/>
        </w:tc>
        <w:tc>
          <w:tcPr>
            <w:tcW w:w="1638" w:type="dxa"/>
          </w:tcPr>
          <w:p w:rsidR="00BF4C0D" w:rsidRPr="00556060" w:rsidRDefault="00BF4C0D" w:rsidP="00BF4C0D">
            <w:pPr>
              <w:jc w:val="center"/>
            </w:pPr>
            <w:r w:rsidRPr="00556060">
              <w:t>W</w:t>
            </w:r>
          </w:p>
        </w:tc>
        <w:tc>
          <w:tcPr>
            <w:tcW w:w="1638" w:type="dxa"/>
          </w:tcPr>
          <w:p w:rsidR="00BF4C0D" w:rsidRPr="00556060" w:rsidRDefault="00BF4C0D" w:rsidP="00BF4C0D">
            <w:pPr>
              <w:jc w:val="center"/>
            </w:pPr>
            <w:r w:rsidRPr="00556060">
              <w:t>1</w:t>
            </w:r>
          </w:p>
        </w:tc>
        <w:tc>
          <w:tcPr>
            <w:tcW w:w="1638" w:type="dxa"/>
          </w:tcPr>
          <w:p w:rsidR="00BF4C0D" w:rsidRPr="00556060" w:rsidRDefault="00BF4C0D" w:rsidP="00BF4C0D">
            <w:pPr>
              <w:jc w:val="center"/>
            </w:pPr>
            <w:r w:rsidRPr="00556060">
              <w:t>2+</w:t>
            </w:r>
          </w:p>
        </w:tc>
        <w:tc>
          <w:tcPr>
            <w:tcW w:w="1638" w:type="dxa"/>
          </w:tcPr>
          <w:p w:rsidR="00BF4C0D" w:rsidRPr="00556060" w:rsidRDefault="00BF4C0D" w:rsidP="00BF4C0D">
            <w:pPr>
              <w:jc w:val="center"/>
            </w:pPr>
            <w:r w:rsidRPr="00556060">
              <w:t>2B+</w:t>
            </w:r>
          </w:p>
        </w:tc>
        <w:tc>
          <w:tcPr>
            <w:tcW w:w="1639" w:type="dxa"/>
          </w:tcPr>
          <w:p w:rsidR="00BF4C0D" w:rsidRPr="00556060" w:rsidRDefault="00BF4C0D" w:rsidP="00BF4C0D">
            <w:pPr>
              <w:jc w:val="center"/>
            </w:pPr>
            <w:r w:rsidRPr="00556060">
              <w:t>3+</w:t>
            </w:r>
          </w:p>
        </w:tc>
      </w:tr>
      <w:tr w:rsidR="00BF4C0D" w:rsidRPr="00556060" w:rsidTr="00556060">
        <w:trPr>
          <w:jc w:val="center"/>
        </w:trPr>
        <w:tc>
          <w:tcPr>
            <w:tcW w:w="2756" w:type="dxa"/>
          </w:tcPr>
          <w:p w:rsidR="00BF4C0D" w:rsidRPr="00556060" w:rsidRDefault="00BF4C0D">
            <w:r w:rsidRPr="00556060">
              <w:t>Speaking and Listening</w:t>
            </w:r>
          </w:p>
        </w:tc>
        <w:tc>
          <w:tcPr>
            <w:tcW w:w="1638" w:type="dxa"/>
          </w:tcPr>
          <w:p w:rsidR="00BF4C0D" w:rsidRPr="00556060" w:rsidRDefault="00BF4C0D" w:rsidP="0057264D">
            <w:pPr>
              <w:jc w:val="center"/>
            </w:pPr>
            <w:r w:rsidRPr="00556060">
              <w:t>0</w:t>
            </w:r>
          </w:p>
        </w:tc>
        <w:tc>
          <w:tcPr>
            <w:tcW w:w="1638" w:type="dxa"/>
          </w:tcPr>
          <w:p w:rsidR="00BF4C0D" w:rsidRPr="00556060" w:rsidRDefault="009E7478" w:rsidP="0057264D">
            <w:pPr>
              <w:jc w:val="center"/>
            </w:pPr>
            <w:r w:rsidRPr="00556060">
              <w:t>0</w:t>
            </w:r>
          </w:p>
        </w:tc>
        <w:tc>
          <w:tcPr>
            <w:tcW w:w="1638" w:type="dxa"/>
          </w:tcPr>
          <w:p w:rsidR="00BF4C0D" w:rsidRPr="00556060" w:rsidRDefault="00A67C73" w:rsidP="00A67C73">
            <w:pPr>
              <w:jc w:val="center"/>
            </w:pPr>
            <w:r w:rsidRPr="00556060">
              <w:t>95</w:t>
            </w:r>
            <w:r w:rsidR="009E7478" w:rsidRPr="00556060">
              <w:t xml:space="preserve"> (</w:t>
            </w:r>
            <w:r w:rsidRPr="00556060">
              <w:t>90)</w:t>
            </w:r>
          </w:p>
        </w:tc>
        <w:tc>
          <w:tcPr>
            <w:tcW w:w="1638" w:type="dxa"/>
          </w:tcPr>
          <w:p w:rsidR="00BF4C0D" w:rsidRPr="00556060" w:rsidRDefault="00BF4C0D" w:rsidP="0057264D">
            <w:pPr>
              <w:jc w:val="center"/>
            </w:pPr>
            <w:r w:rsidRPr="00556060">
              <w:t>N/A</w:t>
            </w:r>
          </w:p>
        </w:tc>
        <w:tc>
          <w:tcPr>
            <w:tcW w:w="1639" w:type="dxa"/>
          </w:tcPr>
          <w:p w:rsidR="00BF4C0D" w:rsidRPr="00556060" w:rsidRDefault="006B4AA4" w:rsidP="00A67C73">
            <w:pPr>
              <w:jc w:val="center"/>
            </w:pPr>
            <w:r w:rsidRPr="00556060">
              <w:t>3</w:t>
            </w:r>
            <w:r w:rsidR="00A67C73" w:rsidRPr="00556060">
              <w:t>0 (25</w:t>
            </w:r>
            <w:r w:rsidR="00BF4C0D" w:rsidRPr="00556060">
              <w:t>)</w:t>
            </w:r>
          </w:p>
        </w:tc>
      </w:tr>
      <w:tr w:rsidR="00BF4C0D" w:rsidRPr="00556060" w:rsidTr="00556060">
        <w:trPr>
          <w:jc w:val="center"/>
        </w:trPr>
        <w:tc>
          <w:tcPr>
            <w:tcW w:w="2756" w:type="dxa"/>
          </w:tcPr>
          <w:p w:rsidR="00BF4C0D" w:rsidRPr="00556060" w:rsidRDefault="00BF4C0D">
            <w:r w:rsidRPr="00556060">
              <w:t>Reading</w:t>
            </w:r>
          </w:p>
        </w:tc>
        <w:tc>
          <w:tcPr>
            <w:tcW w:w="1638" w:type="dxa"/>
          </w:tcPr>
          <w:p w:rsidR="00BF4C0D" w:rsidRPr="00556060" w:rsidRDefault="00BF4C0D" w:rsidP="0057264D">
            <w:pPr>
              <w:jc w:val="center"/>
            </w:pPr>
            <w:r w:rsidRPr="00556060">
              <w:t>0</w:t>
            </w:r>
          </w:p>
        </w:tc>
        <w:tc>
          <w:tcPr>
            <w:tcW w:w="1638" w:type="dxa"/>
          </w:tcPr>
          <w:p w:rsidR="00BF4C0D" w:rsidRPr="00556060" w:rsidRDefault="009E7478" w:rsidP="0057264D">
            <w:pPr>
              <w:jc w:val="center"/>
            </w:pPr>
            <w:r w:rsidRPr="00556060">
              <w:t>0</w:t>
            </w:r>
          </w:p>
        </w:tc>
        <w:tc>
          <w:tcPr>
            <w:tcW w:w="1638" w:type="dxa"/>
          </w:tcPr>
          <w:p w:rsidR="00BF4C0D" w:rsidRPr="00556060" w:rsidRDefault="00A67C73" w:rsidP="0057264D">
            <w:pPr>
              <w:jc w:val="center"/>
            </w:pPr>
            <w:r w:rsidRPr="00556060">
              <w:t>95</w:t>
            </w:r>
            <w:r w:rsidR="009E7478" w:rsidRPr="00556060">
              <w:t xml:space="preserve"> </w:t>
            </w:r>
            <w:r w:rsidRPr="00556060">
              <w:t>(90</w:t>
            </w:r>
            <w:r w:rsidR="00BF4C0D" w:rsidRPr="00556060">
              <w:t>)</w:t>
            </w:r>
          </w:p>
        </w:tc>
        <w:tc>
          <w:tcPr>
            <w:tcW w:w="1638" w:type="dxa"/>
          </w:tcPr>
          <w:p w:rsidR="00BF4C0D" w:rsidRPr="00556060" w:rsidRDefault="00A67C73" w:rsidP="0057264D">
            <w:pPr>
              <w:jc w:val="center"/>
            </w:pPr>
            <w:r w:rsidRPr="00556060">
              <w:t>95 (82</w:t>
            </w:r>
            <w:r w:rsidR="00BF4C0D" w:rsidRPr="00556060">
              <w:t>)</w:t>
            </w:r>
          </w:p>
        </w:tc>
        <w:tc>
          <w:tcPr>
            <w:tcW w:w="1639" w:type="dxa"/>
          </w:tcPr>
          <w:p w:rsidR="00BF4C0D" w:rsidRPr="00556060" w:rsidRDefault="00A67C73" w:rsidP="0057264D">
            <w:pPr>
              <w:jc w:val="center"/>
            </w:pPr>
            <w:r w:rsidRPr="00556060">
              <w:t>25 (32</w:t>
            </w:r>
            <w:r w:rsidR="00BF4C0D" w:rsidRPr="00556060">
              <w:t>)</w:t>
            </w:r>
          </w:p>
        </w:tc>
      </w:tr>
      <w:tr w:rsidR="00BF4C0D" w:rsidRPr="00556060" w:rsidTr="00556060">
        <w:trPr>
          <w:jc w:val="center"/>
        </w:trPr>
        <w:tc>
          <w:tcPr>
            <w:tcW w:w="2756" w:type="dxa"/>
          </w:tcPr>
          <w:p w:rsidR="00BF4C0D" w:rsidRPr="00556060" w:rsidRDefault="00BF4C0D">
            <w:r w:rsidRPr="00556060">
              <w:t>Writing</w:t>
            </w:r>
          </w:p>
        </w:tc>
        <w:tc>
          <w:tcPr>
            <w:tcW w:w="1638" w:type="dxa"/>
          </w:tcPr>
          <w:p w:rsidR="00BF4C0D" w:rsidRPr="00556060" w:rsidRDefault="00BF4C0D" w:rsidP="0057264D">
            <w:pPr>
              <w:jc w:val="center"/>
            </w:pPr>
            <w:r w:rsidRPr="00556060">
              <w:t>0</w:t>
            </w:r>
          </w:p>
        </w:tc>
        <w:tc>
          <w:tcPr>
            <w:tcW w:w="1638" w:type="dxa"/>
          </w:tcPr>
          <w:p w:rsidR="00BF4C0D" w:rsidRPr="00556060" w:rsidRDefault="009E7478" w:rsidP="0057264D">
            <w:pPr>
              <w:jc w:val="center"/>
            </w:pPr>
            <w:r w:rsidRPr="00556060">
              <w:t>6</w:t>
            </w:r>
          </w:p>
        </w:tc>
        <w:tc>
          <w:tcPr>
            <w:tcW w:w="1638" w:type="dxa"/>
          </w:tcPr>
          <w:p w:rsidR="00BF4C0D" w:rsidRPr="00556060" w:rsidRDefault="00A67C73" w:rsidP="00A67C73">
            <w:pPr>
              <w:jc w:val="center"/>
            </w:pPr>
            <w:r w:rsidRPr="00556060">
              <w:t>95</w:t>
            </w:r>
            <w:r w:rsidR="009E7478" w:rsidRPr="00556060">
              <w:t xml:space="preserve"> (</w:t>
            </w:r>
            <w:r w:rsidRPr="00556060">
              <w:t>88</w:t>
            </w:r>
            <w:r w:rsidR="0057264D" w:rsidRPr="00556060">
              <w:t>)</w:t>
            </w:r>
          </w:p>
        </w:tc>
        <w:tc>
          <w:tcPr>
            <w:tcW w:w="1638" w:type="dxa"/>
          </w:tcPr>
          <w:p w:rsidR="00BF4C0D" w:rsidRPr="00556060" w:rsidRDefault="00A67C73" w:rsidP="009E7478">
            <w:pPr>
              <w:jc w:val="center"/>
            </w:pPr>
            <w:r w:rsidRPr="00556060">
              <w:t>95</w:t>
            </w:r>
            <w:r w:rsidR="00BF4C0D" w:rsidRPr="00556060">
              <w:t xml:space="preserve"> (</w:t>
            </w:r>
            <w:r w:rsidRPr="00556060">
              <w:t>72</w:t>
            </w:r>
            <w:r w:rsidR="00BF4C0D" w:rsidRPr="00556060">
              <w:t>)</w:t>
            </w:r>
          </w:p>
        </w:tc>
        <w:tc>
          <w:tcPr>
            <w:tcW w:w="1639" w:type="dxa"/>
          </w:tcPr>
          <w:p w:rsidR="00BF4C0D" w:rsidRPr="00556060" w:rsidRDefault="00A67C73" w:rsidP="009E7478">
            <w:pPr>
              <w:jc w:val="center"/>
            </w:pPr>
            <w:r w:rsidRPr="00556060">
              <w:t>15</w:t>
            </w:r>
            <w:r w:rsidR="00BF4C0D" w:rsidRPr="00556060">
              <w:t xml:space="preserve"> (1</w:t>
            </w:r>
            <w:r w:rsidRPr="00556060">
              <w:t>8</w:t>
            </w:r>
            <w:r w:rsidR="00BF4C0D" w:rsidRPr="00556060">
              <w:t>)</w:t>
            </w:r>
          </w:p>
        </w:tc>
      </w:tr>
      <w:tr w:rsidR="00BF4C0D" w:rsidRPr="00556060" w:rsidTr="00556060">
        <w:trPr>
          <w:jc w:val="center"/>
        </w:trPr>
        <w:tc>
          <w:tcPr>
            <w:tcW w:w="2756" w:type="dxa"/>
          </w:tcPr>
          <w:p w:rsidR="00BF4C0D" w:rsidRPr="00556060" w:rsidRDefault="00BF4C0D">
            <w:r w:rsidRPr="00556060">
              <w:t>Mathematics</w:t>
            </w:r>
          </w:p>
        </w:tc>
        <w:tc>
          <w:tcPr>
            <w:tcW w:w="1638" w:type="dxa"/>
          </w:tcPr>
          <w:p w:rsidR="00BF4C0D" w:rsidRPr="00556060" w:rsidRDefault="00BF4C0D" w:rsidP="0057264D">
            <w:pPr>
              <w:jc w:val="center"/>
            </w:pPr>
            <w:r w:rsidRPr="00556060">
              <w:t>0</w:t>
            </w:r>
          </w:p>
        </w:tc>
        <w:tc>
          <w:tcPr>
            <w:tcW w:w="1638" w:type="dxa"/>
          </w:tcPr>
          <w:p w:rsidR="00BF4C0D" w:rsidRPr="00556060" w:rsidRDefault="00BF4C0D" w:rsidP="0057264D">
            <w:pPr>
              <w:jc w:val="center"/>
            </w:pPr>
            <w:r w:rsidRPr="00556060">
              <w:t>0</w:t>
            </w:r>
          </w:p>
        </w:tc>
        <w:tc>
          <w:tcPr>
            <w:tcW w:w="1638" w:type="dxa"/>
          </w:tcPr>
          <w:p w:rsidR="00BF4C0D" w:rsidRPr="00556060" w:rsidRDefault="00A67C73" w:rsidP="0057264D">
            <w:pPr>
              <w:jc w:val="center"/>
            </w:pPr>
            <w:r w:rsidRPr="00556060">
              <w:t>95 (93</w:t>
            </w:r>
            <w:r w:rsidR="00BF4C0D" w:rsidRPr="00556060">
              <w:t>)</w:t>
            </w:r>
          </w:p>
        </w:tc>
        <w:tc>
          <w:tcPr>
            <w:tcW w:w="1638" w:type="dxa"/>
          </w:tcPr>
          <w:p w:rsidR="00BF4C0D" w:rsidRPr="00556060" w:rsidRDefault="00A67C73" w:rsidP="0057264D">
            <w:pPr>
              <w:jc w:val="center"/>
            </w:pPr>
            <w:r w:rsidRPr="00556060">
              <w:t>95 (82</w:t>
            </w:r>
            <w:r w:rsidR="00BF4C0D" w:rsidRPr="00556060">
              <w:t>)</w:t>
            </w:r>
          </w:p>
        </w:tc>
        <w:tc>
          <w:tcPr>
            <w:tcW w:w="1639" w:type="dxa"/>
          </w:tcPr>
          <w:p w:rsidR="00BF4C0D" w:rsidRPr="00556060" w:rsidRDefault="006B4AA4" w:rsidP="00A67C73">
            <w:pPr>
              <w:jc w:val="center"/>
            </w:pPr>
            <w:r w:rsidRPr="00556060">
              <w:t>2</w:t>
            </w:r>
            <w:r w:rsidR="00A67C73" w:rsidRPr="00556060">
              <w:t>0 (26</w:t>
            </w:r>
            <w:r w:rsidR="00BF4C0D" w:rsidRPr="00556060">
              <w:t>)</w:t>
            </w:r>
          </w:p>
        </w:tc>
      </w:tr>
      <w:tr w:rsidR="00BF4C0D" w:rsidRPr="00556060" w:rsidTr="00556060">
        <w:trPr>
          <w:jc w:val="center"/>
        </w:trPr>
        <w:tc>
          <w:tcPr>
            <w:tcW w:w="2756" w:type="dxa"/>
          </w:tcPr>
          <w:p w:rsidR="00BF4C0D" w:rsidRPr="00556060" w:rsidRDefault="00BF4C0D">
            <w:r w:rsidRPr="00556060">
              <w:t>Science</w:t>
            </w:r>
          </w:p>
        </w:tc>
        <w:tc>
          <w:tcPr>
            <w:tcW w:w="1638" w:type="dxa"/>
          </w:tcPr>
          <w:p w:rsidR="00BF4C0D" w:rsidRPr="00556060" w:rsidRDefault="00BF4C0D" w:rsidP="0057264D">
            <w:pPr>
              <w:jc w:val="center"/>
            </w:pPr>
            <w:r w:rsidRPr="00556060">
              <w:t>0</w:t>
            </w:r>
          </w:p>
        </w:tc>
        <w:tc>
          <w:tcPr>
            <w:tcW w:w="1638" w:type="dxa"/>
          </w:tcPr>
          <w:p w:rsidR="00BF4C0D" w:rsidRPr="00556060" w:rsidRDefault="00BF4C0D" w:rsidP="0057264D">
            <w:pPr>
              <w:jc w:val="center"/>
            </w:pPr>
            <w:r w:rsidRPr="00556060">
              <w:t>0</w:t>
            </w:r>
          </w:p>
        </w:tc>
        <w:tc>
          <w:tcPr>
            <w:tcW w:w="1638" w:type="dxa"/>
          </w:tcPr>
          <w:p w:rsidR="00BF4C0D" w:rsidRPr="00556060" w:rsidRDefault="00A67C73" w:rsidP="009E7478">
            <w:pPr>
              <w:jc w:val="center"/>
            </w:pPr>
            <w:r w:rsidRPr="00556060">
              <w:t>95</w:t>
            </w:r>
            <w:r w:rsidR="00BF4C0D" w:rsidRPr="00556060">
              <w:t xml:space="preserve"> (</w:t>
            </w:r>
            <w:r w:rsidR="009E7478" w:rsidRPr="00556060">
              <w:t>91</w:t>
            </w:r>
            <w:r w:rsidR="00BF4C0D" w:rsidRPr="00556060">
              <w:t>)</w:t>
            </w:r>
          </w:p>
        </w:tc>
        <w:tc>
          <w:tcPr>
            <w:tcW w:w="1638" w:type="dxa"/>
          </w:tcPr>
          <w:p w:rsidR="00BF4C0D" w:rsidRPr="00556060" w:rsidRDefault="00BF4C0D" w:rsidP="0057264D">
            <w:pPr>
              <w:jc w:val="center"/>
            </w:pPr>
            <w:r w:rsidRPr="00556060">
              <w:t>N/A</w:t>
            </w:r>
          </w:p>
        </w:tc>
        <w:tc>
          <w:tcPr>
            <w:tcW w:w="1639" w:type="dxa"/>
          </w:tcPr>
          <w:p w:rsidR="00BF4C0D" w:rsidRPr="00556060" w:rsidRDefault="00A67C73" w:rsidP="0057264D">
            <w:pPr>
              <w:jc w:val="center"/>
            </w:pPr>
            <w:r w:rsidRPr="00556060">
              <w:t>0   (23</w:t>
            </w:r>
            <w:r w:rsidR="00BF4C0D" w:rsidRPr="00556060">
              <w:t>)</w:t>
            </w:r>
          </w:p>
        </w:tc>
      </w:tr>
    </w:tbl>
    <w:p w:rsidR="00BF4C0D" w:rsidRDefault="00BF4C0D"/>
    <w:p w:rsidR="00BF4C0D" w:rsidRDefault="00BF4C0D" w:rsidP="00556060">
      <w:pPr>
        <w:jc w:val="center"/>
      </w:pPr>
      <w:r w:rsidRPr="00556060">
        <w:t>W</w:t>
      </w:r>
      <w:r>
        <w:t xml:space="preserve"> represents pupils who are working towards level 1, but have not yet achieved the standards needed for level 1</w:t>
      </w:r>
    </w:p>
    <w:p w:rsidR="003D685A" w:rsidRDefault="003D685A" w:rsidP="00556060">
      <w:pPr>
        <w:spacing w:after="120"/>
      </w:pPr>
    </w:p>
    <w:p w:rsidR="003D685A" w:rsidRPr="00556060" w:rsidRDefault="003D685A" w:rsidP="00556060">
      <w:pPr>
        <w:jc w:val="center"/>
        <w:rPr>
          <w:b/>
        </w:rPr>
      </w:pPr>
      <w:r w:rsidRPr="003D685A">
        <w:rPr>
          <w:b/>
        </w:rPr>
        <w:t>Results of National Curriculum</w:t>
      </w:r>
      <w:r w:rsidR="009E7478">
        <w:rPr>
          <w:b/>
        </w:rPr>
        <w:t xml:space="preserve"> Assessment of 11 Year Olds 201</w:t>
      </w:r>
      <w:r w:rsidR="00A67C73">
        <w:rPr>
          <w:b/>
        </w:rPr>
        <w:t>5</w:t>
      </w:r>
    </w:p>
    <w:p w:rsidR="003D685A" w:rsidRDefault="003D685A" w:rsidP="00556060">
      <w:pPr>
        <w:jc w:val="center"/>
      </w:pPr>
      <w:r>
        <w:t>These percentages represent the National Curriculum Results at the end of Key Stage 2</w:t>
      </w:r>
    </w:p>
    <w:p w:rsidR="003D685A" w:rsidRDefault="003D685A" w:rsidP="00556060">
      <w:pPr>
        <w:jc w:val="center"/>
      </w:pPr>
      <w:r>
        <w:t>(National results are in brackets for comparison)</w:t>
      </w:r>
      <w:r w:rsidR="00556060">
        <w:t>.</w:t>
      </w:r>
      <w:r w:rsidR="006B4AA4">
        <w:t xml:space="preserve"> (Please note Na</w:t>
      </w:r>
      <w:r w:rsidR="009E7478">
        <w:t>tional comparisons are from 201</w:t>
      </w:r>
      <w:r w:rsidR="00A67C73">
        <w:t>4</w:t>
      </w:r>
      <w:r w:rsidR="006B4AA4">
        <w:t xml:space="preserve"> results)</w:t>
      </w:r>
    </w:p>
    <w:p w:rsidR="003D685A" w:rsidRDefault="003D685A"/>
    <w:p w:rsidR="003D685A" w:rsidRDefault="003D685A">
      <w:r>
        <w:t xml:space="preserve">Figures show the % of children achieving each level.  Each pupil represents </w:t>
      </w:r>
      <w:r w:rsidR="009E7478">
        <w:t>7.14</w:t>
      </w:r>
      <w:r>
        <w:t>%.  Totals may not add to 100% because of rounding</w:t>
      </w:r>
    </w:p>
    <w:p w:rsidR="003D685A" w:rsidRDefault="003D685A"/>
    <w:tbl>
      <w:tblPr>
        <w:tblStyle w:val="TableGrid"/>
        <w:tblW w:w="0" w:type="auto"/>
        <w:jc w:val="center"/>
        <w:tblInd w:w="-981" w:type="dxa"/>
        <w:tblLook w:val="04A0" w:firstRow="1" w:lastRow="0" w:firstColumn="1" w:lastColumn="0" w:noHBand="0" w:noVBand="1"/>
      </w:tblPr>
      <w:tblGrid>
        <w:gridCol w:w="4798"/>
        <w:gridCol w:w="1653"/>
        <w:gridCol w:w="1654"/>
        <w:gridCol w:w="1654"/>
      </w:tblGrid>
      <w:tr w:rsidR="006B4AA4" w:rsidRPr="00556060" w:rsidTr="00AB2397">
        <w:trPr>
          <w:jc w:val="center"/>
        </w:trPr>
        <w:tc>
          <w:tcPr>
            <w:tcW w:w="4798" w:type="dxa"/>
          </w:tcPr>
          <w:p w:rsidR="006B4AA4" w:rsidRPr="00556060" w:rsidRDefault="006B4AA4">
            <w:r w:rsidRPr="00556060">
              <w:t>Level</w:t>
            </w:r>
          </w:p>
          <w:p w:rsidR="006B4AA4" w:rsidRPr="00556060" w:rsidRDefault="006B4AA4"/>
        </w:tc>
        <w:tc>
          <w:tcPr>
            <w:tcW w:w="1653" w:type="dxa"/>
          </w:tcPr>
          <w:p w:rsidR="006B4AA4" w:rsidRPr="00556060" w:rsidRDefault="006B4AA4" w:rsidP="006B4AA4">
            <w:pPr>
              <w:jc w:val="center"/>
            </w:pPr>
            <w:r w:rsidRPr="00556060">
              <w:t>4+</w:t>
            </w:r>
          </w:p>
        </w:tc>
        <w:tc>
          <w:tcPr>
            <w:tcW w:w="1654" w:type="dxa"/>
          </w:tcPr>
          <w:p w:rsidR="006B4AA4" w:rsidRPr="00556060" w:rsidRDefault="006B4AA4" w:rsidP="006B4AA4">
            <w:pPr>
              <w:jc w:val="center"/>
            </w:pPr>
            <w:r w:rsidRPr="00556060">
              <w:t>5</w:t>
            </w:r>
          </w:p>
        </w:tc>
        <w:tc>
          <w:tcPr>
            <w:tcW w:w="1654" w:type="dxa"/>
          </w:tcPr>
          <w:p w:rsidR="006B4AA4" w:rsidRPr="00556060" w:rsidRDefault="006B4AA4" w:rsidP="006B4AA4">
            <w:pPr>
              <w:jc w:val="center"/>
            </w:pPr>
            <w:r w:rsidRPr="00556060">
              <w:t>6</w:t>
            </w:r>
          </w:p>
        </w:tc>
      </w:tr>
      <w:tr w:rsidR="006B4AA4" w:rsidRPr="00556060" w:rsidTr="00AB2397">
        <w:trPr>
          <w:jc w:val="center"/>
        </w:trPr>
        <w:tc>
          <w:tcPr>
            <w:tcW w:w="4798" w:type="dxa"/>
          </w:tcPr>
          <w:p w:rsidR="006B4AA4" w:rsidRPr="00556060" w:rsidRDefault="006B4AA4">
            <w:r w:rsidRPr="00556060">
              <w:t>Reading, Writing, Maths</w:t>
            </w:r>
          </w:p>
        </w:tc>
        <w:tc>
          <w:tcPr>
            <w:tcW w:w="1653" w:type="dxa"/>
          </w:tcPr>
          <w:p w:rsidR="006B4AA4" w:rsidRPr="00556060" w:rsidRDefault="00A67C73" w:rsidP="003D4DFC">
            <w:pPr>
              <w:jc w:val="center"/>
            </w:pPr>
            <w:r w:rsidRPr="00556060">
              <w:t>79 (80</w:t>
            </w:r>
            <w:r w:rsidR="006B4AA4" w:rsidRPr="00556060">
              <w:t>)</w:t>
            </w:r>
          </w:p>
        </w:tc>
        <w:tc>
          <w:tcPr>
            <w:tcW w:w="1654" w:type="dxa"/>
          </w:tcPr>
          <w:p w:rsidR="006B4AA4" w:rsidRPr="00556060" w:rsidRDefault="00A67C73" w:rsidP="009E7478">
            <w:pPr>
              <w:jc w:val="center"/>
            </w:pPr>
            <w:r w:rsidRPr="00556060">
              <w:t>21 (24</w:t>
            </w:r>
            <w:r w:rsidR="006B4AA4" w:rsidRPr="00556060">
              <w:t>)</w:t>
            </w:r>
          </w:p>
        </w:tc>
        <w:tc>
          <w:tcPr>
            <w:tcW w:w="1654" w:type="dxa"/>
          </w:tcPr>
          <w:p w:rsidR="006B4AA4" w:rsidRPr="00556060" w:rsidRDefault="006B4AA4" w:rsidP="006B4AA4">
            <w:pPr>
              <w:jc w:val="center"/>
            </w:pPr>
          </w:p>
        </w:tc>
      </w:tr>
      <w:tr w:rsidR="006B4AA4" w:rsidRPr="00556060" w:rsidTr="00AB2397">
        <w:trPr>
          <w:jc w:val="center"/>
        </w:trPr>
        <w:tc>
          <w:tcPr>
            <w:tcW w:w="4798" w:type="dxa"/>
          </w:tcPr>
          <w:p w:rsidR="006B4AA4" w:rsidRPr="00556060" w:rsidRDefault="006B4AA4">
            <w:r w:rsidRPr="00556060">
              <w:t>Reading</w:t>
            </w:r>
          </w:p>
        </w:tc>
        <w:tc>
          <w:tcPr>
            <w:tcW w:w="1653" w:type="dxa"/>
          </w:tcPr>
          <w:p w:rsidR="006B4AA4" w:rsidRPr="00556060" w:rsidRDefault="00A67C73" w:rsidP="003D4DFC">
            <w:pPr>
              <w:jc w:val="center"/>
            </w:pPr>
            <w:r w:rsidRPr="00556060">
              <w:t>86 (89</w:t>
            </w:r>
            <w:r w:rsidR="006B4AA4" w:rsidRPr="00556060">
              <w:t>)</w:t>
            </w:r>
          </w:p>
        </w:tc>
        <w:tc>
          <w:tcPr>
            <w:tcW w:w="1654" w:type="dxa"/>
          </w:tcPr>
          <w:p w:rsidR="006B4AA4" w:rsidRPr="00556060" w:rsidRDefault="00A67C73" w:rsidP="009E7478">
            <w:pPr>
              <w:jc w:val="center"/>
            </w:pPr>
            <w:r w:rsidRPr="00556060">
              <w:t>29 (25</w:t>
            </w:r>
            <w:r w:rsidR="006B4AA4" w:rsidRPr="00556060">
              <w:t>)</w:t>
            </w:r>
          </w:p>
        </w:tc>
        <w:tc>
          <w:tcPr>
            <w:tcW w:w="1654" w:type="dxa"/>
          </w:tcPr>
          <w:p w:rsidR="006B4AA4" w:rsidRPr="00556060" w:rsidRDefault="006B4AA4" w:rsidP="006B4AA4">
            <w:pPr>
              <w:jc w:val="center"/>
            </w:pPr>
          </w:p>
        </w:tc>
      </w:tr>
      <w:tr w:rsidR="006B4AA4" w:rsidRPr="00556060" w:rsidTr="00AB2397">
        <w:trPr>
          <w:jc w:val="center"/>
        </w:trPr>
        <w:tc>
          <w:tcPr>
            <w:tcW w:w="4798" w:type="dxa"/>
          </w:tcPr>
          <w:p w:rsidR="006B4AA4" w:rsidRPr="00556060" w:rsidRDefault="006B4AA4">
            <w:r w:rsidRPr="00556060">
              <w:t>Writing</w:t>
            </w:r>
          </w:p>
        </w:tc>
        <w:tc>
          <w:tcPr>
            <w:tcW w:w="1653" w:type="dxa"/>
          </w:tcPr>
          <w:p w:rsidR="006B4AA4" w:rsidRPr="00556060" w:rsidRDefault="009E7478" w:rsidP="003D4DFC">
            <w:pPr>
              <w:jc w:val="center"/>
            </w:pPr>
            <w:r w:rsidRPr="00556060">
              <w:t>86 (8</w:t>
            </w:r>
            <w:r w:rsidR="00A67C73" w:rsidRPr="00556060">
              <w:t>7</w:t>
            </w:r>
            <w:r w:rsidRPr="00556060">
              <w:t>)</w:t>
            </w:r>
          </w:p>
        </w:tc>
        <w:tc>
          <w:tcPr>
            <w:tcW w:w="1654" w:type="dxa"/>
          </w:tcPr>
          <w:p w:rsidR="006B4AA4" w:rsidRPr="00556060" w:rsidRDefault="00A67C73" w:rsidP="009E7478">
            <w:pPr>
              <w:jc w:val="center"/>
            </w:pPr>
            <w:r w:rsidRPr="00556060">
              <w:t>29</w:t>
            </w:r>
            <w:r w:rsidR="006B4AA4" w:rsidRPr="00556060">
              <w:t xml:space="preserve"> (</w:t>
            </w:r>
            <w:r w:rsidRPr="00556060">
              <w:t>36</w:t>
            </w:r>
            <w:r w:rsidR="006B4AA4" w:rsidRPr="00556060">
              <w:t>)</w:t>
            </w:r>
          </w:p>
        </w:tc>
        <w:tc>
          <w:tcPr>
            <w:tcW w:w="1654" w:type="dxa"/>
          </w:tcPr>
          <w:p w:rsidR="006B4AA4" w:rsidRPr="00556060" w:rsidRDefault="006B4AA4" w:rsidP="006B4AA4">
            <w:pPr>
              <w:jc w:val="center"/>
            </w:pPr>
          </w:p>
        </w:tc>
      </w:tr>
      <w:tr w:rsidR="003D4DFC" w:rsidRPr="00556060" w:rsidTr="00AB2397">
        <w:trPr>
          <w:jc w:val="center"/>
        </w:trPr>
        <w:tc>
          <w:tcPr>
            <w:tcW w:w="4798" w:type="dxa"/>
          </w:tcPr>
          <w:p w:rsidR="003D4DFC" w:rsidRPr="00556060" w:rsidRDefault="003D4DFC" w:rsidP="00FC05E1">
            <w:r w:rsidRPr="00556060">
              <w:t>Mathematics</w:t>
            </w:r>
          </w:p>
        </w:tc>
        <w:tc>
          <w:tcPr>
            <w:tcW w:w="1653" w:type="dxa"/>
          </w:tcPr>
          <w:p w:rsidR="003D4DFC" w:rsidRPr="00556060" w:rsidRDefault="003D4DFC" w:rsidP="003D4DFC">
            <w:pPr>
              <w:jc w:val="center"/>
            </w:pPr>
            <w:r w:rsidRPr="00556060">
              <w:t>100 (87)</w:t>
            </w:r>
          </w:p>
        </w:tc>
        <w:tc>
          <w:tcPr>
            <w:tcW w:w="1654" w:type="dxa"/>
          </w:tcPr>
          <w:p w:rsidR="003D4DFC" w:rsidRPr="00556060" w:rsidRDefault="003D4DFC" w:rsidP="00FC05E1">
            <w:pPr>
              <w:jc w:val="center"/>
            </w:pPr>
            <w:r w:rsidRPr="00556060">
              <w:t>50 (41)</w:t>
            </w:r>
          </w:p>
        </w:tc>
        <w:tc>
          <w:tcPr>
            <w:tcW w:w="1654" w:type="dxa"/>
          </w:tcPr>
          <w:p w:rsidR="003D4DFC" w:rsidRPr="00556060" w:rsidRDefault="003D4DFC" w:rsidP="00FC05E1">
            <w:pPr>
              <w:jc w:val="center"/>
            </w:pPr>
            <w:r w:rsidRPr="00556060">
              <w:t>29</w:t>
            </w:r>
          </w:p>
        </w:tc>
      </w:tr>
      <w:tr w:rsidR="00556060" w:rsidRPr="00556060" w:rsidTr="00AB2397">
        <w:trPr>
          <w:jc w:val="center"/>
        </w:trPr>
        <w:tc>
          <w:tcPr>
            <w:tcW w:w="4798" w:type="dxa"/>
          </w:tcPr>
          <w:p w:rsidR="00556060" w:rsidRPr="00556060" w:rsidRDefault="00556060" w:rsidP="00FC05E1">
            <w:r w:rsidRPr="00556060">
              <w:t>Science</w:t>
            </w:r>
          </w:p>
        </w:tc>
        <w:tc>
          <w:tcPr>
            <w:tcW w:w="1653" w:type="dxa"/>
          </w:tcPr>
          <w:p w:rsidR="00556060" w:rsidRPr="00556060" w:rsidRDefault="00556060" w:rsidP="003D4DFC">
            <w:pPr>
              <w:jc w:val="center"/>
            </w:pPr>
            <w:r w:rsidRPr="00556060">
              <w:t>86 (89)</w:t>
            </w:r>
          </w:p>
        </w:tc>
        <w:tc>
          <w:tcPr>
            <w:tcW w:w="1654" w:type="dxa"/>
          </w:tcPr>
          <w:p w:rsidR="00556060" w:rsidRPr="00556060" w:rsidRDefault="00556060" w:rsidP="00FC05E1">
            <w:pPr>
              <w:jc w:val="center"/>
            </w:pPr>
            <w:r w:rsidRPr="00556060">
              <w:t>29 (40)</w:t>
            </w:r>
          </w:p>
        </w:tc>
        <w:tc>
          <w:tcPr>
            <w:tcW w:w="1654" w:type="dxa"/>
          </w:tcPr>
          <w:p w:rsidR="00556060" w:rsidRPr="00556060" w:rsidRDefault="00556060" w:rsidP="00FC05E1">
            <w:pPr>
              <w:jc w:val="center"/>
            </w:pPr>
          </w:p>
        </w:tc>
      </w:tr>
    </w:tbl>
    <w:p w:rsidR="003D685A" w:rsidRDefault="003D685A" w:rsidP="0057264D"/>
    <w:sectPr w:rsidR="003D685A" w:rsidSect="00556060">
      <w:pgSz w:w="16838" w:h="11906" w:orient="landscape"/>
      <w:pgMar w:top="568" w:right="1245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0D"/>
    <w:rsid w:val="00122C38"/>
    <w:rsid w:val="0015089A"/>
    <w:rsid w:val="001E79CB"/>
    <w:rsid w:val="002A6CA5"/>
    <w:rsid w:val="003D4DFC"/>
    <w:rsid w:val="003D685A"/>
    <w:rsid w:val="00556060"/>
    <w:rsid w:val="0057264D"/>
    <w:rsid w:val="006B4AA4"/>
    <w:rsid w:val="009E7478"/>
    <w:rsid w:val="00A23C82"/>
    <w:rsid w:val="00A67C73"/>
    <w:rsid w:val="00A85389"/>
    <w:rsid w:val="00AB2397"/>
    <w:rsid w:val="00BF4C0D"/>
    <w:rsid w:val="00E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C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C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8354-A848-4B08-AA19-9FD037AA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Bursar</cp:lastModifiedBy>
  <cp:revision>2</cp:revision>
  <cp:lastPrinted>2013-10-14T09:48:00Z</cp:lastPrinted>
  <dcterms:created xsi:type="dcterms:W3CDTF">2016-04-27T08:42:00Z</dcterms:created>
  <dcterms:modified xsi:type="dcterms:W3CDTF">2016-04-27T08:42:00Z</dcterms:modified>
</cp:coreProperties>
</file>